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2E3" w:rsidRDefault="001132E3" w:rsidP="00CD0D41">
      <w:pPr>
        <w:ind w:left="708" w:firstLine="708"/>
        <w:jc w:val="center"/>
        <w:rPr>
          <w:rFonts w:ascii="Open Sans" w:eastAsia="Times New Roman" w:hAnsi="Open Sans" w:cs="Open Sans"/>
          <w:b/>
          <w:lang w:eastAsia="fr-FR"/>
        </w:rPr>
      </w:pPr>
      <w:bookmarkStart w:id="0" w:name="_GoBack"/>
      <w:bookmarkEnd w:id="0"/>
      <w:r w:rsidRPr="001132E3">
        <w:rPr>
          <w:rFonts w:ascii="Open Sans" w:eastAsia="Times New Roman" w:hAnsi="Open Sans" w:cs="Open Sans"/>
          <w:b/>
          <w:noProof/>
          <w:lang w:eastAsia="fr-FR"/>
        </w:rPr>
        <w:drawing>
          <wp:anchor distT="0" distB="0" distL="114300" distR="114300" simplePos="0" relativeHeight="251658240" behindDoc="1" locked="0" layoutInCell="1" allowOverlap="1">
            <wp:simplePos x="0" y="0"/>
            <wp:positionH relativeFrom="page">
              <wp:align>left</wp:align>
            </wp:positionH>
            <wp:positionV relativeFrom="paragraph">
              <wp:posOffset>-247650</wp:posOffset>
            </wp:positionV>
            <wp:extent cx="2381250" cy="23854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2385485"/>
                    </a:xfrm>
                    <a:prstGeom prst="rect">
                      <a:avLst/>
                    </a:prstGeom>
                    <a:noFill/>
                  </pic:spPr>
                </pic:pic>
              </a:graphicData>
            </a:graphic>
            <wp14:sizeRelH relativeFrom="page">
              <wp14:pctWidth>0</wp14:pctWidth>
            </wp14:sizeRelH>
            <wp14:sizeRelV relativeFrom="page">
              <wp14:pctHeight>0</wp14:pctHeight>
            </wp14:sizeRelV>
          </wp:anchor>
        </w:drawing>
      </w:r>
    </w:p>
    <w:p w:rsidR="00CD0D41" w:rsidRPr="004C41B3" w:rsidRDefault="00877FDA" w:rsidP="0043249F">
      <w:pPr>
        <w:ind w:left="3540" w:firstLine="708"/>
        <w:rPr>
          <w:rFonts w:ascii="Open Sans" w:eastAsia="Times New Roman" w:hAnsi="Open Sans" w:cs="Open Sans"/>
          <w:b/>
          <w:lang w:val="en-GB" w:eastAsia="fr-FR"/>
        </w:rPr>
      </w:pPr>
      <w:r w:rsidRPr="004C41B3">
        <w:rPr>
          <w:rFonts w:ascii="Open Sans" w:eastAsia="Times New Roman" w:hAnsi="Open Sans" w:cs="Open Sans"/>
          <w:b/>
          <w:lang w:val="en-GB" w:eastAsia="fr-FR"/>
        </w:rPr>
        <w:t>Sworn statement</w:t>
      </w:r>
    </w:p>
    <w:p w:rsidR="00877FDA" w:rsidRPr="00877FDA" w:rsidRDefault="00877FDA" w:rsidP="00877FDA">
      <w:pPr>
        <w:pStyle w:val="Retraitnormal"/>
        <w:tabs>
          <w:tab w:val="left" w:pos="284"/>
          <w:tab w:val="num" w:pos="851"/>
        </w:tabs>
        <w:spacing w:before="120"/>
        <w:jc w:val="center"/>
        <w:rPr>
          <w:rFonts w:ascii="Open Sans" w:hAnsi="Open Sans" w:cs="Open Sans"/>
          <w:b/>
          <w:sz w:val="20"/>
          <w:szCs w:val="20"/>
          <w:lang w:val="en-GB"/>
        </w:rPr>
      </w:pPr>
      <w:r>
        <w:rPr>
          <w:rFonts w:ascii="Open Sans" w:hAnsi="Open Sans" w:cs="Open Sans"/>
          <w:b/>
          <w:sz w:val="20"/>
          <w:szCs w:val="20"/>
          <w:lang w:val="en-GB"/>
        </w:rPr>
        <w:t>APPENDIX 1</w:t>
      </w:r>
    </w:p>
    <w:p w:rsidR="00877FDA" w:rsidRPr="00877FDA" w:rsidRDefault="00877FDA" w:rsidP="00877FDA">
      <w:pPr>
        <w:pStyle w:val="Retraitnormal"/>
        <w:tabs>
          <w:tab w:val="left" w:pos="284"/>
          <w:tab w:val="num" w:pos="851"/>
        </w:tabs>
        <w:spacing w:before="120"/>
        <w:jc w:val="center"/>
        <w:rPr>
          <w:rFonts w:ascii="Open Sans" w:hAnsi="Open Sans" w:cs="Open Sans"/>
          <w:b/>
          <w:sz w:val="20"/>
          <w:szCs w:val="20"/>
          <w:lang w:val="en-GB"/>
        </w:rPr>
      </w:pPr>
      <w:r w:rsidRPr="00877FDA">
        <w:rPr>
          <w:rFonts w:ascii="Open Sans" w:hAnsi="Open Sans" w:cs="Open Sans"/>
          <w:b/>
          <w:sz w:val="20"/>
          <w:szCs w:val="20"/>
          <w:lang w:val="en-GB"/>
        </w:rPr>
        <w:t xml:space="preserve">The individual applicant, or each member of the grouping, solemnly declares that: </w:t>
      </w:r>
    </w:p>
    <w:p w:rsidR="00877FDA" w:rsidRPr="00877FDA" w:rsidRDefault="00877FDA" w:rsidP="00877FDA">
      <w:pPr>
        <w:pStyle w:val="Retraitnormal"/>
        <w:tabs>
          <w:tab w:val="left" w:pos="284"/>
          <w:tab w:val="num" w:pos="851"/>
        </w:tabs>
        <w:spacing w:before="120"/>
        <w:jc w:val="center"/>
        <w:rPr>
          <w:rFonts w:ascii="Open Sans" w:hAnsi="Open Sans" w:cs="Open Sans"/>
          <w:b/>
          <w:sz w:val="20"/>
          <w:szCs w:val="20"/>
          <w:lang w:val="en-GB"/>
        </w:rPr>
      </w:pPr>
    </w:p>
    <w:p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Final conviction;</w:t>
      </w:r>
    </w:p>
    <w:p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not over the last 5 years been the object of a conviction for one of the offences provided for in article222-38, 222-40, 226-13, 313-1 to 313-3, 314-1 to 314-3, 324-1 to 324-6, 413-9 to 413-12, 421-1 to 421-2, by the second paragraph of article 421-5, in article 433-1, by the second paragraph of article 433-2, by the eighth paragraph of article 434-9, by the second paragraph of article 434-9, in articles 435-3, 435-4, 435-9, 435-10,441-1 to 441-7, 441-9, 445-1 and 450-1 of the Criminal Code, to article 1741 of the General Tax Code, to articles L. 2339-2 to L. 2339-4 and L. 2339-11 to L. 2339-11-3 of the Defence Code and to article L. 317-8 of the Code of Internal Security, or for a similar offence in another member state of the European Union;</w:t>
      </w:r>
    </w:p>
    <w:p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 xml:space="preserve">-has not been excluded from public procurement markets, following a criminal sentence, based on articles131-10 </w:t>
      </w:r>
      <w:proofErr w:type="spellStart"/>
      <w:r w:rsidRPr="00877FDA">
        <w:rPr>
          <w:rFonts w:ascii="Open Sans" w:hAnsi="Open Sans" w:cs="Open Sans"/>
          <w:sz w:val="18"/>
          <w:szCs w:val="18"/>
          <w:lang w:val="en-GB"/>
        </w:rPr>
        <w:t>ou</w:t>
      </w:r>
      <w:proofErr w:type="spellEnd"/>
      <w:r w:rsidRPr="00877FDA">
        <w:rPr>
          <w:rFonts w:ascii="Open Sans" w:hAnsi="Open Sans" w:cs="Open Sans"/>
          <w:sz w:val="18"/>
          <w:szCs w:val="18"/>
          <w:lang w:val="en-GB"/>
        </w:rPr>
        <w:t xml:space="preserve"> 131-39 of the Criminal Code;</w:t>
      </w:r>
    </w:p>
    <w:p w:rsidR="00BB2A98" w:rsidRDefault="00BB2A98" w:rsidP="00877FDA">
      <w:pPr>
        <w:pStyle w:val="Retraitnormal"/>
        <w:tabs>
          <w:tab w:val="left" w:pos="284"/>
          <w:tab w:val="num" w:pos="851"/>
        </w:tabs>
        <w:rPr>
          <w:rFonts w:ascii="Open Sans" w:hAnsi="Open Sans" w:cs="Open Sans"/>
          <w:b/>
          <w:sz w:val="18"/>
          <w:szCs w:val="18"/>
          <w:lang w:val="en-GB"/>
        </w:rPr>
      </w:pPr>
    </w:p>
    <w:p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Fight against illegal work:</w:t>
      </w:r>
    </w:p>
    <w:p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not been over the last five years the object of a conviction recorded on form n°2 of the criminal record for the offences referred to in articles L. 8221-1, L. 8221-3, L. 8221-5, L.8231-1, L. 8241-1 and L. 8251-1 and L.8251-2 of the French Labour code, or for a similar offence in another member state of the European Union;</w:t>
      </w:r>
    </w:p>
    <w:p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not been excluded from administrative contracts by the “</w:t>
      </w:r>
      <w:proofErr w:type="spellStart"/>
      <w:r w:rsidRPr="00877FDA">
        <w:rPr>
          <w:rFonts w:ascii="Open Sans" w:hAnsi="Open Sans" w:cs="Open Sans"/>
          <w:sz w:val="18"/>
          <w:szCs w:val="18"/>
          <w:lang w:val="en-GB"/>
        </w:rPr>
        <w:t>préfet</w:t>
      </w:r>
      <w:proofErr w:type="spellEnd"/>
      <w:r w:rsidRPr="00877FDA">
        <w:rPr>
          <w:rFonts w:ascii="Open Sans" w:hAnsi="Open Sans" w:cs="Open Sans"/>
          <w:sz w:val="18"/>
          <w:szCs w:val="18"/>
          <w:lang w:val="en-GB"/>
        </w:rPr>
        <w:t>”, in application of articles L. 8272-4, R.8272-10 et R. 8272-11 of the French Labour code ;</w:t>
      </w:r>
    </w:p>
    <w:p w:rsidR="00BB2A98" w:rsidRDefault="00BB2A98" w:rsidP="00877FDA">
      <w:pPr>
        <w:pStyle w:val="Retraitnormal"/>
        <w:tabs>
          <w:tab w:val="left" w:pos="284"/>
          <w:tab w:val="num" w:pos="851"/>
        </w:tabs>
        <w:rPr>
          <w:rFonts w:ascii="Open Sans" w:hAnsi="Open Sans" w:cs="Open Sans"/>
          <w:b/>
          <w:sz w:val="18"/>
          <w:szCs w:val="18"/>
          <w:lang w:val="en-GB"/>
        </w:rPr>
      </w:pPr>
    </w:p>
    <w:p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 xml:space="preserve">Disabled workers employment obligations: </w:t>
      </w:r>
    </w:p>
    <w:p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for public markets and framework agreements subject to the procurement contract code, subscribed to all obligations for the year preceding the launch of the call for tender in application of articles L. 5212-1 à L. 5212-11 of the Labour code on the employment of disabled workers;</w:t>
      </w:r>
    </w:p>
    <w:p w:rsidR="00BB2A98" w:rsidRDefault="00BB2A98" w:rsidP="00877FDA">
      <w:pPr>
        <w:pStyle w:val="Retraitnormal"/>
        <w:tabs>
          <w:tab w:val="left" w:pos="284"/>
          <w:tab w:val="num" w:pos="851"/>
        </w:tabs>
        <w:rPr>
          <w:rFonts w:ascii="Open Sans" w:hAnsi="Open Sans" w:cs="Open Sans"/>
          <w:b/>
          <w:sz w:val="18"/>
          <w:szCs w:val="18"/>
          <w:lang w:val="en-GB"/>
        </w:rPr>
      </w:pPr>
    </w:p>
    <w:p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Judicial liquidation:</w:t>
      </w:r>
    </w:p>
    <w:p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-is not undergoing judicial liquidation under the terms of article L. 640-1 of the Code of Commerce or in a state of personal bankruptcy under the terms of article L. 653- to L. 653-8 of the same Code or equivalent procedure for candidates governed by a law other than French law;</w:t>
      </w:r>
    </w:p>
    <w:p w:rsidR="00BB2A98" w:rsidRDefault="00BB2A98" w:rsidP="00877FDA">
      <w:pPr>
        <w:pStyle w:val="Retraitnormal"/>
        <w:tabs>
          <w:tab w:val="left" w:pos="284"/>
          <w:tab w:val="num" w:pos="851"/>
        </w:tabs>
        <w:rPr>
          <w:rFonts w:ascii="Open Sans" w:hAnsi="Open Sans" w:cs="Open Sans"/>
          <w:b/>
          <w:sz w:val="18"/>
          <w:szCs w:val="18"/>
          <w:lang w:val="en-GB"/>
        </w:rPr>
      </w:pPr>
    </w:p>
    <w:p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 xml:space="preserve">Receivership: </w:t>
      </w:r>
    </w:p>
    <w:p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-is not undergoing receivership procedure under the terms of article L. 631-1 of the French Code of Commerce or equivalent procedure for candidates governed by a law other than French law, or can provide a copy of the ruling authorizing it to continue with its activity for the foreseeable execution period of the market;</w:t>
      </w:r>
    </w:p>
    <w:p w:rsidR="00BB2A98" w:rsidRDefault="00BB2A98" w:rsidP="00877FDA">
      <w:pPr>
        <w:pStyle w:val="Retraitnormal"/>
        <w:tabs>
          <w:tab w:val="left" w:pos="284"/>
          <w:tab w:val="num" w:pos="851"/>
        </w:tabs>
        <w:rPr>
          <w:rFonts w:ascii="Open Sans" w:hAnsi="Open Sans" w:cs="Open Sans"/>
          <w:b/>
          <w:sz w:val="18"/>
          <w:szCs w:val="18"/>
          <w:lang w:val="en-GB"/>
        </w:rPr>
      </w:pPr>
    </w:p>
    <w:p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 xml:space="preserve">Fiscal and social situation: </w:t>
      </w:r>
    </w:p>
    <w:p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at 31 December of the year preceding the launch of the contract, subscribed to the tax and social declarations falling to it and paid the tax and contributions due on this date or, before the launch of this call for tenders, paid these taxes and contributions or constituted guarantees considered to be sufficient by the accountant or the body responsible for collection;</w:t>
      </w:r>
    </w:p>
    <w:p w:rsidR="00BB2A98" w:rsidRDefault="00BB2A98" w:rsidP="00877FDA">
      <w:pPr>
        <w:pStyle w:val="Retraitnormal"/>
        <w:tabs>
          <w:tab w:val="left" w:pos="284"/>
          <w:tab w:val="num" w:pos="851"/>
        </w:tabs>
        <w:rPr>
          <w:rFonts w:ascii="Open Sans" w:hAnsi="Open Sans" w:cs="Open Sans"/>
          <w:b/>
          <w:sz w:val="18"/>
          <w:szCs w:val="18"/>
          <w:lang w:val="en-GB"/>
        </w:rPr>
      </w:pPr>
    </w:p>
    <w:p w:rsidR="00877FDA" w:rsidRPr="00521EEE" w:rsidRDefault="00877FDA" w:rsidP="00877FDA">
      <w:pPr>
        <w:pStyle w:val="Retraitnormal"/>
        <w:tabs>
          <w:tab w:val="left" w:pos="284"/>
          <w:tab w:val="num" w:pos="851"/>
        </w:tabs>
        <w:rPr>
          <w:rFonts w:ascii="Open Sans" w:hAnsi="Open Sans" w:cs="Open Sans"/>
          <w:b/>
          <w:sz w:val="18"/>
          <w:szCs w:val="18"/>
          <w:lang w:val="en-GB"/>
        </w:rPr>
      </w:pPr>
      <w:r w:rsidRPr="00521EEE">
        <w:rPr>
          <w:rFonts w:ascii="Open Sans" w:hAnsi="Open Sans" w:cs="Open Sans"/>
          <w:b/>
          <w:sz w:val="18"/>
          <w:szCs w:val="18"/>
          <w:lang w:val="en-GB"/>
        </w:rPr>
        <w:t>Gender equality:</w:t>
      </w:r>
    </w:p>
    <w:p w:rsidR="00877FDA" w:rsidRP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not been over the last five years the object of a conviction recorded on form no.2 of the criminal record for the offences referred to in article L. 1146-1 of the Labour code;</w:t>
      </w:r>
    </w:p>
    <w:p w:rsidR="00877FDA" w:rsidRDefault="00877FDA" w:rsidP="00877FDA">
      <w:pPr>
        <w:pStyle w:val="Retraitnormal"/>
        <w:tabs>
          <w:tab w:val="left" w:pos="284"/>
          <w:tab w:val="num" w:pos="851"/>
        </w:tabs>
        <w:rPr>
          <w:rFonts w:ascii="Open Sans" w:hAnsi="Open Sans" w:cs="Open Sans"/>
          <w:sz w:val="18"/>
          <w:szCs w:val="18"/>
          <w:lang w:val="en-GB"/>
        </w:rPr>
      </w:pPr>
      <w:r w:rsidRPr="00877FDA">
        <w:rPr>
          <w:rFonts w:ascii="Open Sans" w:hAnsi="Open Sans" w:cs="Open Sans"/>
          <w:sz w:val="18"/>
          <w:szCs w:val="18"/>
          <w:lang w:val="en-GB"/>
        </w:rPr>
        <w:t>-Has implemented, by 31 December of the year preceding the launch of the contract, the obligation to negotiate provided for in article L. 2242-5 of the Labour code or failing that performed or undertaken the regularization of this status at the date of its submission;</w:t>
      </w:r>
    </w:p>
    <w:p w:rsidR="00C01CC0" w:rsidRPr="00877FDA" w:rsidRDefault="00C01CC0" w:rsidP="00877FDA">
      <w:pPr>
        <w:pStyle w:val="Retraitnormal"/>
        <w:tabs>
          <w:tab w:val="left" w:pos="284"/>
          <w:tab w:val="num" w:pos="851"/>
        </w:tabs>
        <w:rPr>
          <w:rFonts w:ascii="Open Sans" w:hAnsi="Open Sans" w:cs="Open Sans"/>
          <w:sz w:val="18"/>
          <w:szCs w:val="18"/>
          <w:lang w:val="en-GB"/>
        </w:rPr>
      </w:pPr>
    </w:p>
    <w:p w:rsidR="00877FDA" w:rsidRDefault="00521EEE" w:rsidP="00877FDA">
      <w:pPr>
        <w:pStyle w:val="Retraitnormal"/>
        <w:tabs>
          <w:tab w:val="left" w:pos="284"/>
          <w:tab w:val="num" w:pos="851"/>
        </w:tabs>
        <w:rPr>
          <w:rFonts w:ascii="Open Sans" w:hAnsi="Open Sans" w:cs="Open Sans"/>
          <w:sz w:val="18"/>
          <w:szCs w:val="18"/>
          <w:lang w:val="en-GB"/>
        </w:rPr>
      </w:pPr>
      <w:r w:rsidRPr="00521EEE">
        <w:rPr>
          <w:rFonts w:ascii="Open Sans" w:hAnsi="Open Sans" w:cs="Open Sans"/>
          <w:b/>
          <w:sz w:val="18"/>
          <w:szCs w:val="18"/>
          <w:lang w:val="en-GB"/>
        </w:rPr>
        <w:t>The candidate undertakes to</w:t>
      </w:r>
      <w:r w:rsidRPr="00521EEE">
        <w:rPr>
          <w:rFonts w:ascii="Open Sans" w:hAnsi="Open Sans" w:cs="Open Sans"/>
          <w:sz w:val="18"/>
          <w:szCs w:val="18"/>
          <w:lang w:val="en-GB"/>
        </w:rPr>
        <w:t xml:space="preserve"> respect and implement all the measures related to the General Data Protection Regulation (Regulation (EU) 2016/679 of the European Parliament and of the Council of 27 April 2016).</w:t>
      </w:r>
    </w:p>
    <w:p w:rsidR="00521EEE" w:rsidRDefault="00521EEE" w:rsidP="00877FDA">
      <w:pPr>
        <w:pStyle w:val="Retraitnormal"/>
        <w:tabs>
          <w:tab w:val="left" w:pos="284"/>
          <w:tab w:val="num" w:pos="851"/>
        </w:tabs>
        <w:rPr>
          <w:rFonts w:ascii="Open Sans" w:hAnsi="Open Sans" w:cs="Open Sans"/>
          <w:sz w:val="18"/>
          <w:szCs w:val="18"/>
          <w:lang w:val="en-GB"/>
        </w:rPr>
      </w:pPr>
    </w:p>
    <w:p w:rsidR="00BB2A98" w:rsidRPr="00877FDA" w:rsidRDefault="00BB2A98" w:rsidP="00877FDA">
      <w:pPr>
        <w:pStyle w:val="Retraitnormal"/>
        <w:tabs>
          <w:tab w:val="left" w:pos="284"/>
          <w:tab w:val="num" w:pos="851"/>
        </w:tabs>
        <w:rPr>
          <w:rFonts w:ascii="Open Sans" w:hAnsi="Open Sans" w:cs="Open Sans"/>
          <w:sz w:val="18"/>
          <w:szCs w:val="18"/>
          <w:lang w:val="en-GB"/>
        </w:rPr>
      </w:pPr>
    </w:p>
    <w:p w:rsidR="004B7DCA" w:rsidRPr="00877FDA" w:rsidRDefault="00877FDA" w:rsidP="00877FDA">
      <w:pPr>
        <w:pStyle w:val="Retraitnormal"/>
        <w:tabs>
          <w:tab w:val="left" w:pos="284"/>
          <w:tab w:val="num" w:pos="851"/>
        </w:tabs>
        <w:ind w:left="0"/>
        <w:rPr>
          <w:sz w:val="18"/>
          <w:szCs w:val="18"/>
        </w:rPr>
      </w:pPr>
      <w:r w:rsidRPr="00877FDA">
        <w:rPr>
          <w:rFonts w:ascii="Open Sans" w:hAnsi="Open Sans" w:cs="Open Sans"/>
          <w:sz w:val="18"/>
          <w:szCs w:val="18"/>
        </w:rPr>
        <w:t>Signature:</w:t>
      </w:r>
    </w:p>
    <w:sectPr w:rsidR="004B7DCA" w:rsidRPr="00877FDA" w:rsidSect="00CD0D41">
      <w:headerReference w:type="even" r:id="rId8"/>
      <w:headerReference w:type="default" r:id="rId9"/>
      <w:headerReference w:type="first" r:id="rId10"/>
      <w:pgSz w:w="11906" w:h="16838"/>
      <w:pgMar w:top="1417" w:right="1417"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51F" w:rsidRDefault="00FC251F" w:rsidP="002425DC">
      <w:pPr>
        <w:spacing w:after="0" w:line="240" w:lineRule="auto"/>
      </w:pPr>
      <w:r>
        <w:separator/>
      </w:r>
    </w:p>
  </w:endnote>
  <w:endnote w:type="continuationSeparator" w:id="0">
    <w:p w:rsidR="00FC251F" w:rsidRDefault="00FC251F" w:rsidP="00242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DejaVu Sans Condensed"/>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51F" w:rsidRDefault="00FC251F" w:rsidP="002425DC">
      <w:pPr>
        <w:spacing w:after="0" w:line="240" w:lineRule="auto"/>
      </w:pPr>
      <w:r>
        <w:separator/>
      </w:r>
    </w:p>
  </w:footnote>
  <w:footnote w:type="continuationSeparator" w:id="0">
    <w:p w:rsidR="00FC251F" w:rsidRDefault="00FC251F" w:rsidP="00242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440" w:rsidRDefault="00A0517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918397" o:spid="_x0000_s2050" type="#_x0000_t136" style="position:absolute;margin-left:0;margin-top:0;width:551.25pt;height:118.1pt;rotation:315;z-index:-251655168;mso-position-horizontal:center;mso-position-horizontal-relative:margin;mso-position-vertical:center;mso-position-vertical-relative:margin" o:allowincell="f" fillcolor="silver" stroked="f">
          <v:fill opacity=".5"/>
          <v:textpath style="font-family:&quot;Open Sans&quot;;font-size:1pt" string="TRANSLATION"/>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5DC" w:rsidRPr="00C01CC0" w:rsidRDefault="00A0517D" w:rsidP="00C01CC0">
    <w:pPr>
      <w:rPr>
        <w:rFonts w:ascii="Open Sans" w:hAnsi="Open Sans" w:cs="Open Sans"/>
        <w:sz w:val="20"/>
        <w:szCs w:val="28"/>
        <w:lang w:val="en-GB"/>
      </w:rPr>
    </w:pPr>
    <w:r>
      <w:rPr>
        <w:noProof/>
        <w:sz w:val="1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918398" o:spid="_x0000_s2051" type="#_x0000_t136" style="position:absolute;margin-left:0;margin-top:0;width:551.25pt;height:118.1pt;rotation:315;z-index:-251653120;mso-position-horizontal:center;mso-position-horizontal-relative:margin;mso-position-vertical:center;mso-position-vertical-relative:margin" o:allowincell="f" fillcolor="silver" stroked="f">
          <v:fill opacity=".5"/>
          <v:textpath style="font-family:&quot;Open Sans&quot;;font-size:1pt" string="TRANSLATION"/>
          <w10:wrap anchorx="margin" anchory="margin"/>
        </v:shape>
      </w:pict>
    </w:r>
    <w:r w:rsidR="00135D98">
      <w:rPr>
        <w:rFonts w:ascii="Open Sans" w:hAnsi="Open Sans" w:cs="Open Sans"/>
        <w:sz w:val="20"/>
        <w:szCs w:val="28"/>
        <w:lang w:val="en-GB"/>
      </w:rPr>
      <w:t>Open tenders N°</w:t>
    </w:r>
    <w:r>
      <w:rPr>
        <w:rFonts w:ascii="Open Sans" w:hAnsi="Open Sans" w:cs="Open Sans"/>
        <w:sz w:val="20"/>
        <w:szCs w:val="28"/>
        <w:lang w:val="en-GB"/>
      </w:rPr>
      <w:t>21/1001906 – Supply of</w:t>
    </w:r>
    <w:r w:rsidR="00C01CC0" w:rsidRPr="00C01CC0">
      <w:rPr>
        <w:rFonts w:ascii="Open Sans" w:hAnsi="Open Sans" w:cs="Open Sans"/>
        <w:sz w:val="20"/>
        <w:szCs w:val="28"/>
        <w:lang w:val="en-GB"/>
      </w:rPr>
      <w:t xml:space="preserve"> </w:t>
    </w:r>
    <w:proofErr w:type="spellStart"/>
    <w:r w:rsidR="00C01CC0" w:rsidRPr="00C01CC0">
      <w:rPr>
        <w:rFonts w:ascii="Open Sans" w:hAnsi="Open Sans" w:cs="Open Sans"/>
        <w:sz w:val="20"/>
        <w:szCs w:val="28"/>
        <w:lang w:val="en-GB"/>
      </w:rPr>
      <w:t>biologging</w:t>
    </w:r>
    <w:proofErr w:type="spellEnd"/>
    <w:r w:rsidR="00C01CC0" w:rsidRPr="00C01CC0">
      <w:rPr>
        <w:rFonts w:ascii="Open Sans" w:hAnsi="Open Sans" w:cs="Open Sans"/>
        <w:sz w:val="20"/>
        <w:szCs w:val="28"/>
        <w:lang w:val="en-GB"/>
      </w:rPr>
      <w:t xml:space="preserve"> material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440" w:rsidRDefault="00A0517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918396" o:spid="_x0000_s2049" type="#_x0000_t136" style="position:absolute;margin-left:0;margin-top:0;width:551.25pt;height:118.1pt;rotation:315;z-index:-251657216;mso-position-horizontal:center;mso-position-horizontal-relative:margin;mso-position-vertical:center;mso-position-vertical-relative:margin" o:allowincell="f" fillcolor="silver" stroked="f">
          <v:fill opacity=".5"/>
          <v:textpath style="font-family:&quot;Open Sans&quot;;font-size:1pt" string="TRANSLATION"/>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067"/>
    <w:multiLevelType w:val="hybridMultilevel"/>
    <w:tmpl w:val="93B87556"/>
    <w:lvl w:ilvl="0" w:tplc="040C0001">
      <w:start w:val="1"/>
      <w:numFmt w:val="bullet"/>
      <w:lvlText w:val=""/>
      <w:lvlJc w:val="left"/>
      <w:pPr>
        <w:tabs>
          <w:tab w:val="num" w:pos="1174"/>
        </w:tabs>
        <w:ind w:left="1174" w:hanging="360"/>
      </w:pPr>
      <w:rPr>
        <w:rFonts w:ascii="Symbol" w:hAnsi="Symbol" w:hint="default"/>
      </w:rPr>
    </w:lvl>
    <w:lvl w:ilvl="1" w:tplc="FA1471D4">
      <w:numFmt w:val="bullet"/>
      <w:lvlText w:val="-"/>
      <w:lvlJc w:val="left"/>
      <w:pPr>
        <w:tabs>
          <w:tab w:val="num" w:pos="1894"/>
        </w:tabs>
        <w:ind w:left="1894" w:hanging="360"/>
      </w:pPr>
      <w:rPr>
        <w:rFonts w:ascii="Times New Roman" w:eastAsia="Times New Roman" w:hAnsi="Times New Roman" w:cs="Times New Roman" w:hint="default"/>
      </w:rPr>
    </w:lvl>
    <w:lvl w:ilvl="2" w:tplc="040C0005" w:tentative="1">
      <w:start w:val="1"/>
      <w:numFmt w:val="bullet"/>
      <w:lvlText w:val=""/>
      <w:lvlJc w:val="left"/>
      <w:pPr>
        <w:tabs>
          <w:tab w:val="num" w:pos="2614"/>
        </w:tabs>
        <w:ind w:left="2614" w:hanging="360"/>
      </w:pPr>
      <w:rPr>
        <w:rFonts w:ascii="Wingdings" w:hAnsi="Wingdings" w:hint="default"/>
      </w:rPr>
    </w:lvl>
    <w:lvl w:ilvl="3" w:tplc="040C0001" w:tentative="1">
      <w:start w:val="1"/>
      <w:numFmt w:val="bullet"/>
      <w:lvlText w:val=""/>
      <w:lvlJc w:val="left"/>
      <w:pPr>
        <w:tabs>
          <w:tab w:val="num" w:pos="3334"/>
        </w:tabs>
        <w:ind w:left="3334" w:hanging="360"/>
      </w:pPr>
      <w:rPr>
        <w:rFonts w:ascii="Symbol" w:hAnsi="Symbol" w:hint="default"/>
      </w:rPr>
    </w:lvl>
    <w:lvl w:ilvl="4" w:tplc="040C0003" w:tentative="1">
      <w:start w:val="1"/>
      <w:numFmt w:val="bullet"/>
      <w:lvlText w:val="o"/>
      <w:lvlJc w:val="left"/>
      <w:pPr>
        <w:tabs>
          <w:tab w:val="num" w:pos="4054"/>
        </w:tabs>
        <w:ind w:left="4054" w:hanging="360"/>
      </w:pPr>
      <w:rPr>
        <w:rFonts w:ascii="Courier New" w:hAnsi="Courier New" w:cs="Courier New" w:hint="default"/>
      </w:rPr>
    </w:lvl>
    <w:lvl w:ilvl="5" w:tplc="040C0005" w:tentative="1">
      <w:start w:val="1"/>
      <w:numFmt w:val="bullet"/>
      <w:lvlText w:val=""/>
      <w:lvlJc w:val="left"/>
      <w:pPr>
        <w:tabs>
          <w:tab w:val="num" w:pos="4774"/>
        </w:tabs>
        <w:ind w:left="4774" w:hanging="360"/>
      </w:pPr>
      <w:rPr>
        <w:rFonts w:ascii="Wingdings" w:hAnsi="Wingdings" w:hint="default"/>
      </w:rPr>
    </w:lvl>
    <w:lvl w:ilvl="6" w:tplc="040C0001" w:tentative="1">
      <w:start w:val="1"/>
      <w:numFmt w:val="bullet"/>
      <w:lvlText w:val=""/>
      <w:lvlJc w:val="left"/>
      <w:pPr>
        <w:tabs>
          <w:tab w:val="num" w:pos="5494"/>
        </w:tabs>
        <w:ind w:left="5494" w:hanging="360"/>
      </w:pPr>
      <w:rPr>
        <w:rFonts w:ascii="Symbol" w:hAnsi="Symbol" w:hint="default"/>
      </w:rPr>
    </w:lvl>
    <w:lvl w:ilvl="7" w:tplc="040C0003" w:tentative="1">
      <w:start w:val="1"/>
      <w:numFmt w:val="bullet"/>
      <w:lvlText w:val="o"/>
      <w:lvlJc w:val="left"/>
      <w:pPr>
        <w:tabs>
          <w:tab w:val="num" w:pos="6214"/>
        </w:tabs>
        <w:ind w:left="6214" w:hanging="360"/>
      </w:pPr>
      <w:rPr>
        <w:rFonts w:ascii="Courier New" w:hAnsi="Courier New" w:cs="Courier New" w:hint="default"/>
      </w:rPr>
    </w:lvl>
    <w:lvl w:ilvl="8" w:tplc="040C0005" w:tentative="1">
      <w:start w:val="1"/>
      <w:numFmt w:val="bullet"/>
      <w:lvlText w:val=""/>
      <w:lvlJc w:val="left"/>
      <w:pPr>
        <w:tabs>
          <w:tab w:val="num" w:pos="6934"/>
        </w:tabs>
        <w:ind w:left="693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BD"/>
    <w:rsid w:val="00062E37"/>
    <w:rsid w:val="001132E3"/>
    <w:rsid w:val="00116FE9"/>
    <w:rsid w:val="00135D98"/>
    <w:rsid w:val="002425DC"/>
    <w:rsid w:val="003206C1"/>
    <w:rsid w:val="0043249F"/>
    <w:rsid w:val="004B7DCA"/>
    <w:rsid w:val="004C41B3"/>
    <w:rsid w:val="004E70E6"/>
    <w:rsid w:val="00521EEE"/>
    <w:rsid w:val="006A0440"/>
    <w:rsid w:val="00877FDA"/>
    <w:rsid w:val="00A0517D"/>
    <w:rsid w:val="00A65D63"/>
    <w:rsid w:val="00A93832"/>
    <w:rsid w:val="00A95F12"/>
    <w:rsid w:val="00B80FEB"/>
    <w:rsid w:val="00BA0734"/>
    <w:rsid w:val="00BB2A98"/>
    <w:rsid w:val="00BE39F9"/>
    <w:rsid w:val="00C01CC0"/>
    <w:rsid w:val="00C52836"/>
    <w:rsid w:val="00CD0D41"/>
    <w:rsid w:val="00E050F7"/>
    <w:rsid w:val="00E453BD"/>
    <w:rsid w:val="00F517FB"/>
    <w:rsid w:val="00FC25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39BF7E98-BFC4-4616-BECF-7A7DD905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rsid w:val="002425DC"/>
    <w:pPr>
      <w:spacing w:after="0" w:line="240" w:lineRule="auto"/>
      <w:ind w:left="708"/>
      <w:jc w:val="both"/>
    </w:pPr>
    <w:rPr>
      <w:rFonts w:ascii="Arial" w:eastAsia="Times New Roman" w:hAnsi="Arial" w:cs="Arial"/>
      <w:lang w:eastAsia="fr-FR"/>
    </w:rPr>
  </w:style>
  <w:style w:type="paragraph" w:styleId="En-tte">
    <w:name w:val="header"/>
    <w:basedOn w:val="Normal"/>
    <w:link w:val="En-tteCar"/>
    <w:uiPriority w:val="99"/>
    <w:unhideWhenUsed/>
    <w:rsid w:val="002425DC"/>
    <w:pPr>
      <w:tabs>
        <w:tab w:val="center" w:pos="4536"/>
        <w:tab w:val="right" w:pos="9072"/>
      </w:tabs>
      <w:spacing w:after="0" w:line="240" w:lineRule="auto"/>
    </w:pPr>
  </w:style>
  <w:style w:type="character" w:customStyle="1" w:styleId="En-tteCar">
    <w:name w:val="En-tête Car"/>
    <w:basedOn w:val="Policepardfaut"/>
    <w:link w:val="En-tte"/>
    <w:uiPriority w:val="99"/>
    <w:rsid w:val="002425DC"/>
    <w:rPr>
      <w:lang w:val="en-GB"/>
    </w:rPr>
  </w:style>
  <w:style w:type="paragraph" w:styleId="Pieddepage">
    <w:name w:val="footer"/>
    <w:basedOn w:val="Normal"/>
    <w:link w:val="PieddepageCar"/>
    <w:uiPriority w:val="99"/>
    <w:unhideWhenUsed/>
    <w:rsid w:val="002425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425D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557</Words>
  <Characters>3065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IFREMER</Company>
  <LinksUpToDate>false</LinksUpToDate>
  <CharactersWithSpaces>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GALIANO, Ifremer Brest PDG-DAJF-ACHATS-MARCHES</dc:creator>
  <cp:keywords/>
  <dc:description/>
  <cp:lastModifiedBy>Hugo LE MOAL, Ifremer Brest PDG-DAJF-ACHATS-MARC</cp:lastModifiedBy>
  <cp:revision>5</cp:revision>
  <cp:lastPrinted>2018-01-19T15:49:00Z</cp:lastPrinted>
  <dcterms:created xsi:type="dcterms:W3CDTF">2019-02-14T16:06:00Z</dcterms:created>
  <dcterms:modified xsi:type="dcterms:W3CDTF">2021-08-25T10:45:00Z</dcterms:modified>
</cp:coreProperties>
</file>